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A" w:rsidRDefault="00BE1D9A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13019E" w:rsidRDefault="0013019E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СОВЕТ ДЕПУТАТОВ МУНИЦИПАЛЬНОГО ОБРАЗОВАНИЯ</w:t>
      </w:r>
    </w:p>
    <w:p w:rsidR="0045032F" w:rsidRPr="008D2E2C" w:rsidRDefault="00337AA3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«МЕЛЕКЕССКИЙ РАЙОН»</w:t>
      </w:r>
      <w:r w:rsidR="0045032F" w:rsidRPr="008D2E2C">
        <w:rPr>
          <w:rFonts w:ascii="PT Astra Serif" w:hAnsi="PT Astra Serif"/>
          <w:sz w:val="32"/>
          <w:szCs w:val="32"/>
        </w:rPr>
        <w:t xml:space="preserve"> УЛЬЯНОВСКОЙ ОБЛАСТИ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8D2E2C">
        <w:rPr>
          <w:rFonts w:ascii="PT Astra Serif" w:hAnsi="PT Astra Serif"/>
          <w:sz w:val="36"/>
          <w:szCs w:val="36"/>
        </w:rPr>
        <w:t>РЕШЕНИЕ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13019E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18.12.2019</w:t>
      </w:r>
      <w:r w:rsidR="00337AA3" w:rsidRPr="008D2E2C">
        <w:rPr>
          <w:rFonts w:ascii="PT Astra Serif" w:hAnsi="PT Astra Serif"/>
        </w:rPr>
        <w:t xml:space="preserve">                                                                                     </w:t>
      </w:r>
      <w:r>
        <w:rPr>
          <w:rFonts w:ascii="PT Astra Serif" w:hAnsi="PT Astra Serif"/>
        </w:rPr>
        <w:t xml:space="preserve">      </w:t>
      </w:r>
      <w:bookmarkStart w:id="0" w:name="_GoBack"/>
      <w:bookmarkEnd w:id="0"/>
      <w:r w:rsidR="00337AA3" w:rsidRPr="008D2E2C">
        <w:rPr>
          <w:rFonts w:ascii="PT Astra Serif" w:hAnsi="PT Astra Serif"/>
        </w:rPr>
        <w:t xml:space="preserve">       №</w:t>
      </w:r>
      <w:r>
        <w:rPr>
          <w:rFonts w:ascii="PT Astra Serif" w:hAnsi="PT Astra Serif"/>
        </w:rPr>
        <w:t xml:space="preserve"> 18/87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8D2E2C">
        <w:rPr>
          <w:rFonts w:ascii="PT Astra Serif" w:hAnsi="PT Astra Serif"/>
        </w:rPr>
        <w:t>г. Димитровград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120C47" w:rsidRPr="008D2E2C" w:rsidRDefault="00BE1D9A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 внесении изменения в </w:t>
      </w:r>
      <w:r w:rsidR="00120C47" w:rsidRPr="008D2E2C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е</w:t>
      </w:r>
      <w:r w:rsidR="00120C47" w:rsidRPr="008D2E2C">
        <w:rPr>
          <w:rFonts w:ascii="PT Astra Serif" w:hAnsi="PT Astra Serif"/>
          <w:sz w:val="28"/>
          <w:szCs w:val="28"/>
        </w:rPr>
        <w:t xml:space="preserve">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</w:t>
      </w:r>
      <w:r w:rsidR="00081BC5" w:rsidRPr="008D2E2C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</w:t>
      </w:r>
      <w:r w:rsidR="0045032F" w:rsidRPr="008D2E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20C47" w:rsidRPr="008D2E2C">
        <w:rPr>
          <w:rFonts w:ascii="PT Astra Serif" w:hAnsi="PT Astra Serif"/>
          <w:sz w:val="28"/>
          <w:szCs w:val="28"/>
        </w:rPr>
        <w:t xml:space="preserve">, </w:t>
      </w:r>
      <w:r w:rsidR="000B3638" w:rsidRPr="008D2E2C">
        <w:rPr>
          <w:rFonts w:ascii="PT Astra Serif" w:hAnsi="PT Astra Serif"/>
          <w:sz w:val="28"/>
          <w:szCs w:val="28"/>
        </w:rPr>
        <w:t>а также приостановления, прекращения и восстановления выплаты пенсии за выслугу лет</w:t>
      </w:r>
      <w:r>
        <w:rPr>
          <w:rFonts w:ascii="PT Astra Serif" w:hAnsi="PT Astra Serif"/>
          <w:sz w:val="28"/>
          <w:szCs w:val="28"/>
        </w:rPr>
        <w:t>, утвержденное решением Совета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от 29.11.2019 №17/84</w:t>
      </w:r>
      <w:proofErr w:type="gramEnd"/>
    </w:p>
    <w:p w:rsidR="00120C47" w:rsidRPr="008D2E2C" w:rsidRDefault="00120C47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813F9" w:rsidRPr="008D2E2C" w:rsidRDefault="00BE1D9A" w:rsidP="00C813F9">
      <w:pPr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част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ью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5 статьи 20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закона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от </w:t>
      </w:r>
      <w:r w:rsidR="00C813F9" w:rsidRPr="008D2E2C">
        <w:rPr>
          <w:rFonts w:ascii="PT Astra Serif" w:hAnsi="PT Astra Serif" w:cs="Calibri"/>
          <w:color w:val="000000" w:themeColor="text1"/>
          <w:sz w:val="28"/>
          <w:szCs w:val="28"/>
        </w:rPr>
        <w:t>28.12.2013 №400-ФЗ «О страховых пенсиях»,</w:t>
      </w:r>
      <w:r>
        <w:rPr>
          <w:rFonts w:ascii="PT Astra Serif" w:hAnsi="PT Astra Serif" w:cs="Calibri"/>
          <w:color w:val="000000" w:themeColor="text1"/>
          <w:sz w:val="28"/>
          <w:szCs w:val="28"/>
        </w:rPr>
        <w:t xml:space="preserve"> </w:t>
      </w:r>
      <w:hyperlink r:id="rId10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част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ью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4 статьи 7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15.12.2001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166-ФЗ «О государственном пенсионном обеспечении в Российской</w:t>
      </w:r>
      <w:proofErr w:type="gramEnd"/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Федерации», </w:t>
      </w:r>
      <w:hyperlink r:id="rId11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стать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ёй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24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02.03.2007 №25-ФЗ «О муниципальной службе в Российской Федерации», </w:t>
      </w:r>
      <w:r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акон</w:t>
      </w:r>
      <w:r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09.11.2010 №179-ЗО «О пенсионном обеспечении государственных гражданских служащих Ульяновской области», законом Ульяновской области от 07.11.2007 №163-ЗО «О муниципальной службе в Ульяновской области», </w:t>
      </w:r>
      <w:r w:rsidR="006E7FE1">
        <w:rPr>
          <w:rFonts w:ascii="PT Astra Serif" w:hAnsi="PT Astra Serif"/>
          <w:color w:val="000000" w:themeColor="text1"/>
          <w:sz w:val="28"/>
          <w:szCs w:val="28"/>
        </w:rPr>
        <w:t xml:space="preserve">Совет депутатов </w:t>
      </w:r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Мелекесский</w:t>
      </w:r>
      <w:proofErr w:type="spell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район» Ульяновской области шестого созыва </w:t>
      </w:r>
      <w:proofErr w:type="gram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р</w:t>
      </w:r>
      <w:proofErr w:type="gram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е ш и л:</w:t>
      </w:r>
    </w:p>
    <w:p w:rsidR="00BE1D9A" w:rsidRDefault="0045032F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D2E2C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="00BE1D9A">
        <w:rPr>
          <w:rFonts w:ascii="PT Astra Serif" w:hAnsi="PT Astra Serif"/>
          <w:b w:val="0"/>
          <w:sz w:val="28"/>
          <w:szCs w:val="28"/>
        </w:rPr>
        <w:t xml:space="preserve">Внести в </w:t>
      </w:r>
      <w:r w:rsidR="001641CD" w:rsidRPr="008D2E2C">
        <w:rPr>
          <w:rFonts w:ascii="PT Astra Serif" w:hAnsi="PT Astra Serif"/>
          <w:b w:val="0"/>
          <w:sz w:val="28"/>
          <w:szCs w:val="28"/>
        </w:rPr>
        <w:t>Положение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1641CD" w:rsidRPr="008D2E2C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1641CD" w:rsidRPr="008D2E2C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0B3638" w:rsidRPr="008D2E2C">
        <w:rPr>
          <w:rFonts w:ascii="PT Astra Serif" w:hAnsi="PT Astra Serif"/>
          <w:b w:val="0"/>
          <w:sz w:val="28"/>
          <w:szCs w:val="28"/>
        </w:rPr>
        <w:t>а также приостановления, прекращения и восстановления выплаты пенсии за выслугу лет</w:t>
      </w:r>
      <w:r w:rsidR="00BE1D9A">
        <w:rPr>
          <w:rFonts w:ascii="PT Astra Serif" w:hAnsi="PT Astra Serif"/>
          <w:b w:val="0"/>
          <w:sz w:val="28"/>
          <w:szCs w:val="28"/>
        </w:rPr>
        <w:t>, утвержденное решением Совета депутатов муниципального образования «</w:t>
      </w:r>
      <w:proofErr w:type="spellStart"/>
      <w:r w:rsidR="00BE1D9A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BE1D9A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 от 29.11.2019 №17/84 следующее изменение:</w:t>
      </w:r>
      <w:proofErr w:type="gramEnd"/>
    </w:p>
    <w:p w:rsidR="00BE1D9A" w:rsidRDefault="00BE1D9A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1.1. Часть 1 статьи 5 «Размер пенсии за выслугу лет» изложить в следующей редакции:</w:t>
      </w:r>
    </w:p>
    <w:p w:rsidR="00BE1D9A" w:rsidRPr="00BE1D9A" w:rsidRDefault="00BE1D9A" w:rsidP="00BE1D9A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E1D9A">
        <w:rPr>
          <w:rFonts w:ascii="PT Astra Serif" w:hAnsi="PT Astra Serif"/>
          <w:color w:val="000000" w:themeColor="text1"/>
          <w:sz w:val="28"/>
          <w:szCs w:val="28"/>
        </w:rPr>
        <w:t xml:space="preserve">«1. Ежемесячная пенсия за выслугу лет определяется как произведение </w:t>
      </w:r>
      <w:r w:rsidRPr="00BE1D9A">
        <w:rPr>
          <w:rFonts w:ascii="PT Astra Serif" w:hAnsi="PT Astra Serif"/>
          <w:color w:val="000000" w:themeColor="text1"/>
          <w:sz w:val="28"/>
          <w:szCs w:val="28"/>
        </w:rPr>
        <w:lastRenderedPageBreak/>
        <w:t>должностного оклада по соответствующей замещаемой должности муниципальной службы в расчетном периоде, либо сохраненного в этом периоде, коэффициента 1,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BE1D9A">
        <w:rPr>
          <w:rFonts w:ascii="PT Astra Serif" w:hAnsi="PT Astra Serif"/>
          <w:color w:val="000000" w:themeColor="text1"/>
          <w:sz w:val="28"/>
          <w:szCs w:val="28"/>
        </w:rPr>
        <w:t xml:space="preserve"> и процента за выслугу лет, рассчитанного исходя из стажа муниципальной службы:</w:t>
      </w:r>
    </w:p>
    <w:p w:rsidR="0045032F" w:rsidRPr="00BE1D9A" w:rsidRDefault="00BE1D9A" w:rsidP="00BE1D9A">
      <w:pPr>
        <w:pStyle w:val="ConsPlusNormal"/>
        <w:jc w:val="center"/>
        <w:rPr>
          <w:rFonts w:ascii="PT Astra Serif" w:hAnsi="PT Astra Serif"/>
          <w:b/>
          <w:sz w:val="23"/>
          <w:szCs w:val="23"/>
        </w:rPr>
      </w:pPr>
      <w:r w:rsidRPr="00BE1D9A">
        <w:rPr>
          <w:rFonts w:ascii="PT Astra Serif" w:hAnsi="PT Astra Serif"/>
          <w:b/>
          <w:i/>
          <w:color w:val="000000" w:themeColor="text1"/>
          <w:sz w:val="23"/>
          <w:szCs w:val="23"/>
        </w:rPr>
        <w:t>Размер пенсии за выслугу лет = Размер Должностного оклада х 1,2 х % за выслугу лет</w:t>
      </w:r>
      <w:r w:rsidRPr="00BE1D9A">
        <w:rPr>
          <w:rFonts w:ascii="PT Astra Serif" w:hAnsi="PT Astra Serif"/>
          <w:sz w:val="23"/>
          <w:szCs w:val="23"/>
        </w:rPr>
        <w:t>».</w:t>
      </w:r>
    </w:p>
    <w:p w:rsidR="0045032F" w:rsidRPr="008D2E2C" w:rsidRDefault="0045032F" w:rsidP="00081BC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BE1D9A">
        <w:rPr>
          <w:rFonts w:ascii="PT Astra Serif" w:hAnsi="PT Astra Serif"/>
          <w:sz w:val="28"/>
          <w:szCs w:val="28"/>
        </w:rPr>
        <w:t>с 01.01.2020.</w:t>
      </w:r>
    </w:p>
    <w:p w:rsidR="00081BC5" w:rsidRPr="008D2E2C" w:rsidRDefault="00BE1D9A" w:rsidP="00081BC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81BC5" w:rsidRPr="008D2E2C">
        <w:rPr>
          <w:rFonts w:ascii="PT Astra Serif" w:hAnsi="PT Astra Serif"/>
          <w:sz w:val="28"/>
          <w:szCs w:val="28"/>
        </w:rPr>
        <w:t xml:space="preserve">. Настоящее решение подлежит </w:t>
      </w:r>
      <w:r w:rsidR="002D2A49" w:rsidRPr="008D2E2C">
        <w:rPr>
          <w:rFonts w:ascii="PT Astra Serif" w:hAnsi="PT Astra Serif"/>
          <w:sz w:val="28"/>
          <w:szCs w:val="28"/>
        </w:rPr>
        <w:t xml:space="preserve">официальному опубликованию и </w:t>
      </w:r>
      <w:r w:rsidR="00081BC5" w:rsidRPr="008D2E2C">
        <w:rPr>
          <w:rFonts w:ascii="PT Astra Serif" w:hAnsi="PT Astra Serif"/>
          <w:sz w:val="28"/>
          <w:szCs w:val="28"/>
        </w:rPr>
        <w:t>размещению на официальном сайте администрации 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81BC5" w:rsidRPr="008D2E2C" w:rsidRDefault="00BE1D9A" w:rsidP="00081BC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81BC5" w:rsidRPr="008D2E2C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45032F" w:rsidRPr="008D2E2C" w:rsidRDefault="0045032F">
      <w:pPr>
        <w:pStyle w:val="ConsPlusNormal"/>
        <w:ind w:firstLine="540"/>
        <w:jc w:val="both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«</w:t>
      </w:r>
      <w:proofErr w:type="spellStart"/>
      <w:r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D2E2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</w:t>
      </w:r>
      <w:r w:rsidRPr="008D2E2C">
        <w:rPr>
          <w:rFonts w:ascii="PT Astra Serif" w:hAnsi="PT Astra Serif"/>
          <w:bCs/>
          <w:sz w:val="28"/>
          <w:szCs w:val="28"/>
        </w:rPr>
        <w:t>О.В. Мартынова</w:t>
      </w: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Default="002D2A49" w:rsidP="004D4930">
      <w:pPr>
        <w:pStyle w:val="ConsPlusNormal"/>
        <w:rPr>
          <w:rFonts w:ascii="PT Astra Serif" w:hAnsi="PT Astra Serif"/>
        </w:rPr>
      </w:pPr>
    </w:p>
    <w:sectPr w:rsidR="002D2A49" w:rsidSect="008D2E2C">
      <w:headerReference w:type="default" r:id="rId12"/>
      <w:pgSz w:w="11906" w:h="16838"/>
      <w:pgMar w:top="8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D7" w:rsidRDefault="002E4FD7">
      <w:r>
        <w:separator/>
      </w:r>
    </w:p>
  </w:endnote>
  <w:endnote w:type="continuationSeparator" w:id="0">
    <w:p w:rsidR="002E4FD7" w:rsidRDefault="002E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D7" w:rsidRDefault="002E4FD7">
      <w:r>
        <w:separator/>
      </w:r>
    </w:p>
  </w:footnote>
  <w:footnote w:type="continuationSeparator" w:id="0">
    <w:p w:rsidR="002E4FD7" w:rsidRDefault="002E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444"/>
    </w:sdtPr>
    <w:sdtEndPr/>
    <w:sdtContent>
      <w:p w:rsidR="0099414B" w:rsidRDefault="00D41AF5">
        <w:pPr>
          <w:pStyle w:val="a8"/>
          <w:jc w:val="center"/>
        </w:pPr>
        <w:r>
          <w:fldChar w:fldCharType="begin"/>
        </w:r>
        <w:r w:rsidR="0099414B">
          <w:instrText xml:space="preserve"> PAGE   \* MERGEFORMAT </w:instrText>
        </w:r>
        <w:r>
          <w:fldChar w:fldCharType="separate"/>
        </w:r>
        <w:r w:rsidR="00130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B" w:rsidRDefault="009941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2F"/>
    <w:rsid w:val="00067758"/>
    <w:rsid w:val="00081BC5"/>
    <w:rsid w:val="000B3638"/>
    <w:rsid w:val="000D311E"/>
    <w:rsid w:val="000F045F"/>
    <w:rsid w:val="000F1825"/>
    <w:rsid w:val="00120C47"/>
    <w:rsid w:val="00125259"/>
    <w:rsid w:val="00127085"/>
    <w:rsid w:val="0013019E"/>
    <w:rsid w:val="00131FF8"/>
    <w:rsid w:val="00132388"/>
    <w:rsid w:val="00150FCB"/>
    <w:rsid w:val="001641CD"/>
    <w:rsid w:val="001709FB"/>
    <w:rsid w:val="0021066C"/>
    <w:rsid w:val="002465AF"/>
    <w:rsid w:val="002572B4"/>
    <w:rsid w:val="00273186"/>
    <w:rsid w:val="002D2A49"/>
    <w:rsid w:val="002E01E4"/>
    <w:rsid w:val="002E2DBD"/>
    <w:rsid w:val="002E41D4"/>
    <w:rsid w:val="002E4FD7"/>
    <w:rsid w:val="003156FE"/>
    <w:rsid w:val="00337AA3"/>
    <w:rsid w:val="00362808"/>
    <w:rsid w:val="00396479"/>
    <w:rsid w:val="003C1833"/>
    <w:rsid w:val="004362CE"/>
    <w:rsid w:val="0045032F"/>
    <w:rsid w:val="00491440"/>
    <w:rsid w:val="004A611D"/>
    <w:rsid w:val="004A7120"/>
    <w:rsid w:val="004D4930"/>
    <w:rsid w:val="00571F02"/>
    <w:rsid w:val="005C6F92"/>
    <w:rsid w:val="005F165F"/>
    <w:rsid w:val="006056A6"/>
    <w:rsid w:val="00646AE2"/>
    <w:rsid w:val="006659B1"/>
    <w:rsid w:val="006B6E48"/>
    <w:rsid w:val="006C3306"/>
    <w:rsid w:val="006E7FE1"/>
    <w:rsid w:val="00704EDF"/>
    <w:rsid w:val="00760E11"/>
    <w:rsid w:val="00793D7B"/>
    <w:rsid w:val="007E7A58"/>
    <w:rsid w:val="007F3DF3"/>
    <w:rsid w:val="00823965"/>
    <w:rsid w:val="008A2B47"/>
    <w:rsid w:val="008D2E2C"/>
    <w:rsid w:val="009156A7"/>
    <w:rsid w:val="0096290B"/>
    <w:rsid w:val="00984209"/>
    <w:rsid w:val="0099414B"/>
    <w:rsid w:val="009B4935"/>
    <w:rsid w:val="009C0A98"/>
    <w:rsid w:val="009C65D5"/>
    <w:rsid w:val="009F1E0F"/>
    <w:rsid w:val="00A43757"/>
    <w:rsid w:val="00A62142"/>
    <w:rsid w:val="00B04DDF"/>
    <w:rsid w:val="00B1782F"/>
    <w:rsid w:val="00B3213A"/>
    <w:rsid w:val="00B463EE"/>
    <w:rsid w:val="00BA05DD"/>
    <w:rsid w:val="00BE1D9A"/>
    <w:rsid w:val="00C0627B"/>
    <w:rsid w:val="00C226D8"/>
    <w:rsid w:val="00C511DA"/>
    <w:rsid w:val="00C813F9"/>
    <w:rsid w:val="00CA42F3"/>
    <w:rsid w:val="00CE2495"/>
    <w:rsid w:val="00D1285A"/>
    <w:rsid w:val="00D41AF5"/>
    <w:rsid w:val="00D55940"/>
    <w:rsid w:val="00D63925"/>
    <w:rsid w:val="00D95494"/>
    <w:rsid w:val="00DA3976"/>
    <w:rsid w:val="00DB2180"/>
    <w:rsid w:val="00DB2CDA"/>
    <w:rsid w:val="00DF4CA5"/>
    <w:rsid w:val="00E03016"/>
    <w:rsid w:val="00E70D9E"/>
    <w:rsid w:val="00E74425"/>
    <w:rsid w:val="00E7490D"/>
    <w:rsid w:val="00E80E90"/>
    <w:rsid w:val="00E8749D"/>
    <w:rsid w:val="00EB1976"/>
    <w:rsid w:val="00EB1DC4"/>
    <w:rsid w:val="00F13D88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A820FA339D47A89C56366562247CBD947BB8EE374FB169936B6A3EEA610BDAFDE46AEFA9A6B6C5F3A7ADA7086DF98DF5B7BED30938C5B36M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A820FA339D47A89C56366562247CBD945BF84E277FB169936B6A3EEA610BDAFDE46AEFA9B6969583A7ADA7086DF98DF5B7BED30938C5B36M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A820FA339D47A89C56366562247CBD945BF84E07AFB169936B6A3EEA610BDAFDE46AEFA9B696D5A3A7ADA7086DF98DF5B7BED30938C5B36M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A820FA339D47A89C56366562247CBD844BA8BE377FB169936B6A3EEA610BDAFDE46AEFA9B6B68583A7ADA7086DF98DF5B7BED30938C5B36M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760F-DEF4-43FB-9091-9BC6252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3731</CharactersWithSpaces>
  <SharedDoc>false</SharedDoc>
  <HLinks>
    <vt:vector size="72" baseType="variant">
      <vt:variant>
        <vt:i4>1507336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consultantplus://offline/ref=93EE70AE3C5F3AD882C9E6CA93FBCBD42F500CDB03BD18DD440C9D1D374DECA5F1E0728164B6533Af1N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</dc:creator>
  <cp:lastModifiedBy>Елена</cp:lastModifiedBy>
  <cp:revision>4</cp:revision>
  <cp:lastPrinted>2019-12-03T05:24:00Z</cp:lastPrinted>
  <dcterms:created xsi:type="dcterms:W3CDTF">2019-12-10T08:32:00Z</dcterms:created>
  <dcterms:modified xsi:type="dcterms:W3CDTF">2019-12-16T06:30:00Z</dcterms:modified>
</cp:coreProperties>
</file>